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EEF" w:rsidRDefault="00543A79">
      <w:pPr>
        <w:pStyle w:val="Ttulo1"/>
        <w:spacing w:before="0" w:after="0" w:line="33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REGULAMENTO – INDIQUE E GANHE</w:t>
      </w:r>
    </w:p>
    <w:p w:rsidR="00C07EEF" w:rsidRDefault="00C07EEF"/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252"/>
          <w:tab w:val="left" w:pos="6588"/>
        </w:tabs>
        <w:spacing w:after="0"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DO OBJETIVO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252"/>
          <w:tab w:val="left" w:pos="6588"/>
        </w:tabs>
        <w:spacing w:after="0" w:line="336" w:lineRule="auto"/>
        <w:jc w:val="center"/>
        <w:rPr>
          <w:rFonts w:ascii="Arial" w:eastAsia="Arial" w:hAnsi="Arial" w:cs="Arial"/>
          <w:b/>
          <w:bCs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1°</w:t>
      </w:r>
      <w:r>
        <w:rPr>
          <w:rFonts w:ascii="Arial" w:eastAsia="Arial" w:hAnsi="Arial" w:cs="Arial"/>
        </w:rPr>
        <w:t xml:space="preserve"> O presente regulamento estabelece a organização de procedimentos e critérios para a concessão de bônus decorrentes da campanha </w:t>
      </w:r>
      <w:r>
        <w:rPr>
          <w:rFonts w:ascii="Arial" w:eastAsia="Arial" w:hAnsi="Arial" w:cs="Arial"/>
          <w:b/>
          <w:bCs/>
        </w:rPr>
        <w:t xml:space="preserve">Indique e Ganhe, em que acadêmicos com matrícula ativa </w:t>
      </w:r>
      <w:r>
        <w:rPr>
          <w:rFonts w:ascii="Arial" w:eastAsia="Arial" w:hAnsi="Arial" w:cs="Arial"/>
        </w:rPr>
        <w:t xml:space="preserve">da UCEFF poderão participar. 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II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DA VIGÊNCIA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Art. 2°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Esta campanha terá vigência no período de </w:t>
      </w:r>
      <w:r w:rsidR="008B7ECE">
        <w:rPr>
          <w:rFonts w:ascii="Arial" w:hAnsi="Arial" w:cs="Arial"/>
        </w:rPr>
        <w:t>06/07</w:t>
      </w:r>
      <w:bookmarkStart w:id="0" w:name="_GoBack"/>
      <w:bookmarkEnd w:id="0"/>
      <w:r>
        <w:rPr>
          <w:rFonts w:ascii="Arial" w:hAnsi="Arial" w:cs="Arial"/>
        </w:rPr>
        <w:t>/2026 a 31/12/2026.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Parágrafo único:</w:t>
      </w:r>
      <w:r>
        <w:rPr>
          <w:rFonts w:ascii="Arial" w:eastAsia="Arial" w:hAnsi="Arial" w:cs="Arial"/>
        </w:rPr>
        <w:t xml:space="preserve"> A UCEFF se reserva o direito de definir novos critérios, suspender a campanha e/ou limitar/dilatar a duração.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32"/>
          <w:tab w:val="center" w:pos="4960"/>
        </w:tabs>
        <w:spacing w:after="0" w:line="336" w:lineRule="auto"/>
        <w:jc w:val="center"/>
        <w:rPr>
          <w:rFonts w:ascii="Arial" w:eastAsia="Arial" w:hAnsi="Arial" w:cs="Arial"/>
          <w:b/>
          <w:bCs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832"/>
          <w:tab w:val="center" w:pos="4960"/>
        </w:tabs>
        <w:spacing w:after="0"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CAPÍTULO III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168"/>
          <w:tab w:val="center" w:pos="4819"/>
          <w:tab w:val="left" w:pos="6749"/>
        </w:tabs>
        <w:spacing w:after="0"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DO BÔNUS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168"/>
          <w:tab w:val="center" w:pos="4819"/>
          <w:tab w:val="left" w:pos="6749"/>
        </w:tabs>
        <w:spacing w:after="0" w:line="336" w:lineRule="auto"/>
        <w:jc w:val="center"/>
        <w:rPr>
          <w:rFonts w:ascii="Arial" w:eastAsia="Arial" w:hAnsi="Arial" w:cs="Arial"/>
          <w:b/>
          <w:bCs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</w:rPr>
        <w:t xml:space="preserve">Art. 3º </w:t>
      </w:r>
      <w:r>
        <w:rPr>
          <w:rFonts w:ascii="Arial" w:hAnsi="Arial" w:cs="Arial"/>
          <w:b/>
          <w:bCs/>
        </w:rPr>
        <w:t>Durante a vigência da camp</w:t>
      </w:r>
      <w:r>
        <w:rPr>
          <w:rFonts w:ascii="Arial" w:hAnsi="Arial" w:cs="Arial"/>
          <w:b/>
          <w:bCs/>
          <w:color w:val="000000" w:themeColor="text1"/>
        </w:rPr>
        <w:t>anha será ofertado o bônus de R$ 300,00 (trezentos reais).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</w:rPr>
        <w:t xml:space="preserve">Parágrafo primeiro: </w:t>
      </w:r>
      <w:r>
        <w:rPr>
          <w:rFonts w:ascii="Arial" w:eastAsia="Arial" w:hAnsi="Arial" w:cs="Arial"/>
          <w:color w:val="000000"/>
        </w:rPr>
        <w:t xml:space="preserve">Para concessão do bônus, será indispensável que a matrícula do novo acadêmico seja efetivamente formalizada e permaneça válida, mediante assinatura do contrato de prestação de serviços educacionais, pagamento da matrícula, entrega integral da documentação </w:t>
      </w:r>
      <w:r>
        <w:rPr>
          <w:rFonts w:ascii="Arial" w:eastAsia="Arial" w:hAnsi="Arial" w:cs="Arial"/>
          <w:color w:val="000000"/>
        </w:rPr>
        <w:t>exigida e ausência de cancelamento, trancamento, desistência ou rescisão contratual.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b/>
          <w:bCs/>
          <w:i/>
          <w:iCs/>
          <w:color w:val="000000" w:themeColor="text1"/>
          <w:highlight w:val="white"/>
        </w:rPr>
        <w:t>Alínea a:</w:t>
      </w:r>
      <w:r>
        <w:rPr>
          <w:rFonts w:ascii="Arial" w:hAnsi="Arial" w:cs="Arial"/>
          <w:color w:val="000000" w:themeColor="text1"/>
        </w:rPr>
        <w:t xml:space="preserve"> O acadêmico que indicar poderá optar entre ter o valor previsto no caput</w:t>
      </w:r>
      <w:r>
        <w:rPr>
          <w:rFonts w:ascii="Arial" w:hAnsi="Arial" w:cs="Arial"/>
          <w:color w:val="000000" w:themeColor="text1"/>
        </w:rPr>
        <w:t xml:space="preserve"> descontado da </w:t>
      </w:r>
      <w:proofErr w:type="gramStart"/>
      <w:r>
        <w:rPr>
          <w:rFonts w:ascii="Arial" w:hAnsi="Arial" w:cs="Arial"/>
          <w:color w:val="000000" w:themeColor="text1"/>
        </w:rPr>
        <w:t>sua  mensalidade</w:t>
      </w:r>
      <w:proofErr w:type="gramEnd"/>
      <w:r>
        <w:rPr>
          <w:rFonts w:ascii="Arial" w:hAnsi="Arial" w:cs="Arial"/>
          <w:color w:val="000000" w:themeColor="text1"/>
        </w:rPr>
        <w:t xml:space="preserve"> ou poderá optar pela transferência do valor mediante PIX,</w:t>
      </w:r>
      <w:r>
        <w:rPr>
          <w:rFonts w:ascii="Arial" w:hAnsi="Arial" w:cs="Arial"/>
          <w:color w:val="000000" w:themeColor="text1"/>
        </w:rPr>
        <w:t xml:space="preserve"> com chave a ser indicada pelo acadêmico que indicou.  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  <w:color w:val="000000" w:themeColor="text1"/>
          <w:highlight w:val="white"/>
        </w:rPr>
      </w:pPr>
      <w:r>
        <w:rPr>
          <w:rFonts w:ascii="Arial" w:hAnsi="Arial" w:cs="Arial"/>
          <w:b/>
          <w:bCs/>
          <w:i/>
          <w:iCs/>
          <w:color w:val="000000" w:themeColor="text1"/>
          <w:highlight w:val="white"/>
        </w:rPr>
        <w:t xml:space="preserve">Alínea b: </w:t>
      </w:r>
      <w:r>
        <w:rPr>
          <w:rFonts w:ascii="Arial" w:hAnsi="Arial" w:cs="Arial"/>
          <w:color w:val="000000" w:themeColor="text1"/>
          <w:highlight w:val="white"/>
        </w:rPr>
        <w:t>Se mais de um acadêmico promover a indicação de mesma pessoa, valerá a indicação daquele que o fez primeiro, o que será possível identificar por meio do registro no site oficial.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b/>
          <w:bCs/>
          <w:i/>
          <w:iCs/>
          <w:highlight w:val="white"/>
        </w:rPr>
        <w:t>Alínea c:</w:t>
      </w:r>
      <w:r>
        <w:rPr>
          <w:rFonts w:ascii="Arial" w:hAnsi="Arial" w:cs="Arial"/>
          <w:highlight w:val="white"/>
        </w:rPr>
        <w:t xml:space="preserve"> O</w:t>
      </w:r>
      <w:r>
        <w:rPr>
          <w:rFonts w:ascii="Arial" w:hAnsi="Arial" w:cs="Arial"/>
          <w:highlight w:val="white"/>
        </w:rPr>
        <w:t xml:space="preserve"> indicador </w:t>
      </w:r>
      <w:r>
        <w:rPr>
          <w:rFonts w:ascii="Arial" w:hAnsi="Arial" w:cs="Arial"/>
          <w:b/>
          <w:bCs/>
          <w:highlight w:val="white"/>
          <w:u w:val="single"/>
        </w:rPr>
        <w:t>não receberá</w:t>
      </w:r>
      <w:r>
        <w:rPr>
          <w:rFonts w:ascii="Arial" w:hAnsi="Arial" w:cs="Arial"/>
          <w:highlight w:val="white"/>
        </w:rPr>
        <w:t xml:space="preserve"> o bônus, caso a turma na qual o indicado realizou a matrícula, não confirme a sua abertura.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>Parágrafo segundo</w:t>
      </w:r>
      <w:r>
        <w:rPr>
          <w:rFonts w:ascii="Arial" w:eastAsia="Arial" w:hAnsi="Arial" w:cs="Arial"/>
          <w:bCs/>
        </w:rPr>
        <w:t xml:space="preserve">: O bônus será concedido ao </w:t>
      </w:r>
      <w:r>
        <w:rPr>
          <w:rFonts w:ascii="Arial" w:eastAsia="Arial" w:hAnsi="Arial" w:cs="Arial"/>
          <w:b/>
          <w:bCs/>
        </w:rPr>
        <w:t xml:space="preserve">indicador </w:t>
      </w:r>
      <w:r>
        <w:rPr>
          <w:rFonts w:ascii="Arial" w:eastAsia="Arial" w:hAnsi="Arial" w:cs="Arial"/>
          <w:bCs/>
        </w:rPr>
        <w:t xml:space="preserve">após o </w:t>
      </w:r>
      <w:r>
        <w:rPr>
          <w:rFonts w:ascii="Arial" w:eastAsia="Arial" w:hAnsi="Arial" w:cs="Arial"/>
          <w:b/>
          <w:bCs/>
        </w:rPr>
        <w:t>indicado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  <w:u w:val="single"/>
        </w:rPr>
        <w:t>entregar os documentos necessários para a efetivação da matrícula, assinar o contrato e promover o pagamento da matrícula</w:t>
      </w:r>
      <w:r>
        <w:rPr>
          <w:rFonts w:ascii="Arial" w:eastAsia="Arial" w:hAnsi="Arial" w:cs="Arial"/>
          <w:bCs/>
        </w:rPr>
        <w:t>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Parágrafo terceiro:</w:t>
      </w:r>
      <w:r>
        <w:rPr>
          <w:rFonts w:ascii="Arial" w:eastAsia="Arial" w:hAnsi="Arial" w:cs="Arial"/>
          <w:color w:val="000000"/>
        </w:rPr>
        <w:t xml:space="preserve"> O bônus será cumulativo por indicação efetivamente convertida em matrícula, limitado, contudo, ao valor total da </w:t>
      </w:r>
      <w:r>
        <w:rPr>
          <w:rFonts w:ascii="Arial" w:eastAsia="Arial" w:hAnsi="Arial" w:cs="Arial"/>
          <w:color w:val="000000"/>
        </w:rPr>
        <w:t>mensalidade devida pelo acadêmico indicador, não gerando saldo credor, reembolso ou compensação para períodos posteriores, salvo nas hipóteses expressamente previstas neste Regulamento.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Alínea a:</w:t>
      </w:r>
      <w:r>
        <w:rPr>
          <w:rFonts w:ascii="Arial" w:hAnsi="Arial" w:cs="Arial"/>
        </w:rPr>
        <w:t xml:space="preserve"> Se o estudante que indicar for formando, desde que este não </w:t>
      </w:r>
      <w:r>
        <w:rPr>
          <w:rFonts w:ascii="Arial" w:hAnsi="Arial" w:cs="Arial"/>
        </w:rPr>
        <w:t>esteja inadimplente com a UCEFF, ele receberá o valor do bônus, mediante pagamento via PIX.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lastRenderedPageBreak/>
        <w:t>Alínea b:</w:t>
      </w:r>
      <w:r>
        <w:rPr>
          <w:rFonts w:ascii="Arial" w:hAnsi="Arial" w:cs="Arial"/>
        </w:rPr>
        <w:t xml:space="preserve"> Se o estudante que indicar estiver contemplado por bolsa de estudos 100%, ele receberá o valor do bônus, mediante pagamento via PIX.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quarto: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A a</w:t>
      </w:r>
      <w:r>
        <w:rPr>
          <w:rFonts w:ascii="Arial" w:eastAsia="Arial" w:hAnsi="Arial" w:cs="Arial"/>
          <w:color w:val="000000"/>
        </w:rPr>
        <w:t>cumulação prevista no parágrafo anterior refere-se exclusivamente a múltiplas indicações realizadas no âmbito desta campanha, não sendo os bônus aqui previstos cumulativos com outras campanhas comerciais, bolsas, convênios, benefícios ou descontos concedid</w:t>
      </w:r>
      <w:r>
        <w:rPr>
          <w:rFonts w:ascii="Arial" w:eastAsia="Arial" w:hAnsi="Arial" w:cs="Arial"/>
          <w:color w:val="000000"/>
        </w:rPr>
        <w:t>os pela UCEFF, salvo autorização expressa da Instituição.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ind w:left="283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CAPÍTULO IV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DAS CONDIÇÕES DE PARTICIPAÇÃO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Poderão participar da campanha os acadêmicos da UCEFF que estejam com matrícula ativa e regular no momento da indicação e da concessão do benefício, desde que inexistam débitos vencidos perante a Instituição.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rPr>
          <w:rFonts w:ascii="Arial" w:eastAsia="Arial" w:hAnsi="Arial" w:cs="Arial"/>
          <w:b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ind w:left="28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V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DOS PROCEDIMENTOS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Em caso de não cumprimento das regras e condições mencionadas, o candidato perderá o direito ao bônus ofertado por esta campanha.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primeiro:</w:t>
      </w:r>
      <w:r>
        <w:rPr>
          <w:rFonts w:ascii="Arial" w:hAnsi="Arial" w:cs="Arial"/>
        </w:rPr>
        <w:t xml:space="preserve"> As indicações deverão ser realizadas EXCLUSIVAMENTE pelo site da UCEFF, na aba própria para este procedim</w:t>
      </w:r>
      <w:r>
        <w:rPr>
          <w:rFonts w:ascii="Arial" w:hAnsi="Arial" w:cs="Arial"/>
        </w:rPr>
        <w:t>ento.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segundo: </w:t>
      </w:r>
      <w:r>
        <w:rPr>
          <w:rFonts w:ascii="Arial" w:hAnsi="Arial" w:cs="Arial"/>
        </w:rPr>
        <w:t xml:space="preserve">O acadêmico deverá fornecer os seguintes dados quando da indicação: I) Nome do indicador; II) Número de matrícula do indicador; III) Nome do indicado; IV) Telefone/WhatsApp do indicado; V) </w:t>
      </w:r>
      <w:r>
        <w:rPr>
          <w:rFonts w:ascii="Arial" w:eastAsia="Arial" w:hAnsi="Arial" w:cs="Arial"/>
          <w:color w:val="000000"/>
        </w:rPr>
        <w:t>Curso para o qual está sendo realizada a i</w:t>
      </w:r>
      <w:r>
        <w:rPr>
          <w:rFonts w:ascii="Arial" w:eastAsia="Arial" w:hAnsi="Arial" w:cs="Arial"/>
          <w:color w:val="000000"/>
        </w:rPr>
        <w:t>ndicação; VI) Se deseja receber o bônus via PIX ou desconto de sua mensalidade.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terceiro: </w:t>
      </w:r>
      <w:r>
        <w:rPr>
          <w:rFonts w:ascii="Arial" w:hAnsi="Arial" w:cs="Arial"/>
        </w:rPr>
        <w:t>Os bônus provenientes desta campanha não serão aplicados em parcelas de acordo financeiro e/ou para mensalidades atrasadas.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 xml:space="preserve">Parágrafo quarto: </w:t>
      </w:r>
      <w:r>
        <w:rPr>
          <w:rFonts w:ascii="Arial" w:eastAsia="Arial" w:hAnsi="Arial" w:cs="Arial"/>
          <w:color w:val="000000"/>
        </w:rPr>
        <w:t>O beneficiário perderá o direito ao bônus, ou terá sua concessão suspensa/cancelada, em caso de inadimplência, trancamento, transferência, cancelamento de matrícula, desistência do curso ou descumprimento das condições previstas neste Regulamento.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ind w:left="28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</w:t>
      </w:r>
      <w:r>
        <w:rPr>
          <w:rFonts w:ascii="Arial" w:eastAsia="Arial" w:hAnsi="Arial" w:cs="Arial"/>
          <w:b/>
        </w:rPr>
        <w:t>O VI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DAS DISPOSIÇÕES FINAIS</w:t>
      </w:r>
    </w:p>
    <w:p w:rsidR="00C07EEF" w:rsidRDefault="00C07E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center"/>
        <w:rPr>
          <w:rFonts w:ascii="Arial" w:eastAsia="Arial" w:hAnsi="Arial" w:cs="Arial"/>
          <w:b/>
          <w:bCs/>
        </w:rPr>
      </w:pP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6º </w:t>
      </w:r>
      <w:r>
        <w:rPr>
          <w:rFonts w:ascii="Arial" w:eastAsia="Arial" w:hAnsi="Arial" w:cs="Arial"/>
          <w:color w:val="000000"/>
        </w:rPr>
        <w:t>A violação de qualquer disposição deste Regulamento poderá caracterizar falta grave e ensejar a exclusão do participante da campanha, sem direito ao recebimento ou à manutenção do benefício.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Art. 7º </w:t>
      </w:r>
      <w:r>
        <w:rPr>
          <w:rFonts w:ascii="Arial" w:eastAsia="Arial" w:hAnsi="Arial" w:cs="Arial"/>
          <w:color w:val="000000"/>
        </w:rPr>
        <w:t>Os dados pessoais fornecidos no âmbito desta campanha serão tratados pela UCEFF exclusivamente para fins de operacionalização, controle, validação das indicações, concessão dos benefícios e cumprimento de obrigações legais e regulatórias, observados os pri</w:t>
      </w:r>
      <w:r>
        <w:rPr>
          <w:rFonts w:ascii="Arial" w:eastAsia="Arial" w:hAnsi="Arial" w:cs="Arial"/>
          <w:color w:val="000000"/>
        </w:rPr>
        <w:t>ncípios e disposições da Lei Geral de Proteção de Dados Pessoais — Lei n.º 13.709/2018.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Art. 8º </w:t>
      </w:r>
      <w:r>
        <w:rPr>
          <w:rFonts w:ascii="Arial" w:eastAsia="Arial" w:hAnsi="Arial" w:cs="Arial"/>
          <w:color w:val="000000"/>
        </w:rPr>
        <w:t xml:space="preserve">Constatada qualquer tentativa de fraude, simulação, informação falsa, uso indevido de dados de terceiros ou conduta destinada a burlar as regras da campanha, a </w:t>
      </w:r>
      <w:r>
        <w:rPr>
          <w:rFonts w:ascii="Arial" w:eastAsia="Arial" w:hAnsi="Arial" w:cs="Arial"/>
          <w:color w:val="000000"/>
        </w:rPr>
        <w:t>UCEFF poderá cancelar a participação do acadêmico, negar ou estornar o benefício concedido, sem prejuízo da adoção das medidas legais cabíveis.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9º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Os casos omissos ou excepcionais serão apreciados e deliberados pela Direção de Ensino da UCEFF.</w:t>
      </w:r>
    </w:p>
    <w:p w:rsidR="00C07EEF" w:rsidRDefault="00543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36" w:lineRule="auto"/>
        <w:jc w:val="both"/>
        <w:rPr>
          <w:rFonts w:ascii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Art. </w:t>
      </w:r>
      <w:r>
        <w:rPr>
          <w:rFonts w:ascii="Arial" w:eastAsia="Arial" w:hAnsi="Arial" w:cs="Arial"/>
          <w:b/>
          <w:highlight w:val="white"/>
        </w:rPr>
        <w:t xml:space="preserve">10 </w:t>
      </w:r>
      <w:r>
        <w:rPr>
          <w:rFonts w:ascii="Arial" w:hAnsi="Arial" w:cs="Arial"/>
          <w:highlight w:val="white"/>
        </w:rPr>
        <w:t>A promoção Indique e Ganhe é válida para todas as unidades da UCEFF.</w:t>
      </w:r>
    </w:p>
    <w:p w:rsidR="00C07EEF" w:rsidRDefault="00543A79">
      <w:pPr>
        <w:spacing w:after="0" w:line="33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highlight w:val="white"/>
        </w:rPr>
        <w:t>Art. 11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Este regulamento entra em vigor na data de sua public</w:t>
      </w:r>
      <w:r>
        <w:rPr>
          <w:rFonts w:ascii="Arial" w:eastAsia="Arial" w:hAnsi="Arial" w:cs="Arial"/>
        </w:rPr>
        <w:t>ação.</w:t>
      </w:r>
    </w:p>
    <w:p w:rsidR="00C07EEF" w:rsidRDefault="00C07EEF">
      <w:pPr>
        <w:spacing w:line="360" w:lineRule="auto"/>
        <w:jc w:val="both"/>
        <w:rPr>
          <w:rFonts w:ascii="Arial" w:eastAsia="Arial" w:hAnsi="Arial" w:cs="Arial"/>
        </w:rPr>
      </w:pPr>
    </w:p>
    <w:sectPr w:rsidR="00C07EEF">
      <w:headerReference w:type="default" r:id="rId7"/>
      <w:footerReference w:type="default" r:id="rId8"/>
      <w:pgSz w:w="11906" w:h="16838"/>
      <w:pgMar w:top="720" w:right="720" w:bottom="720" w:left="720" w:header="119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A79" w:rsidRDefault="00543A79">
      <w:pPr>
        <w:spacing w:after="0" w:line="240" w:lineRule="auto"/>
      </w:pPr>
      <w:r>
        <w:separator/>
      </w:r>
    </w:p>
  </w:endnote>
  <w:endnote w:type="continuationSeparator" w:id="0">
    <w:p w:rsidR="00543A79" w:rsidRDefault="0054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F" w:rsidRDefault="00C07E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A79" w:rsidRDefault="00543A79">
      <w:pPr>
        <w:spacing w:after="0" w:line="240" w:lineRule="auto"/>
      </w:pPr>
      <w:r>
        <w:separator/>
      </w:r>
    </w:p>
  </w:footnote>
  <w:footnote w:type="continuationSeparator" w:id="0">
    <w:p w:rsidR="00543A79" w:rsidRDefault="00543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EEF" w:rsidRDefault="00C07EEF">
    <w:pPr>
      <w:pStyle w:val="Cabealho"/>
      <w:tabs>
        <w:tab w:val="clear" w:pos="7143"/>
        <w:tab w:val="clear" w:pos="14287"/>
        <w:tab w:val="left" w:pos="5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4A2E"/>
    <w:multiLevelType w:val="multilevel"/>
    <w:tmpl w:val="104A47A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sz w:val="23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3AF62654"/>
    <w:multiLevelType w:val="multilevel"/>
    <w:tmpl w:val="3A5411FE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EF"/>
    <w:rsid w:val="00543A79"/>
    <w:rsid w:val="008B7ECE"/>
    <w:rsid w:val="00C07EEF"/>
    <w:rsid w:val="00D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D7E4"/>
  <w15:docId w15:val="{10A24355-9A24-4E00-8988-0F8A1FC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ACIM</dc:creator>
  <cp:keywords/>
  <dc:description/>
  <cp:lastModifiedBy>ACIM UCEFF</cp:lastModifiedBy>
  <cp:revision>2</cp:revision>
  <dcterms:created xsi:type="dcterms:W3CDTF">2026-07-07T17:22:00Z</dcterms:created>
  <dcterms:modified xsi:type="dcterms:W3CDTF">2026-07-07T17:22:00Z</dcterms:modified>
</cp:coreProperties>
</file>